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D4A0" w14:textId="57B5D058" w:rsidR="00E33C8D" w:rsidRPr="00D71A53" w:rsidRDefault="00E33C8D" w:rsidP="00FF073A">
      <w:pPr>
        <w:pBdr>
          <w:top w:val="single" w:sz="4" w:space="1" w:color="auto"/>
          <w:left w:val="single" w:sz="4" w:space="4" w:color="auto"/>
          <w:bottom w:val="single" w:sz="4" w:space="1" w:color="auto"/>
          <w:right w:val="single" w:sz="4" w:space="4" w:color="auto"/>
        </w:pBdr>
        <w:jc w:val="center"/>
        <w:rPr>
          <w:b/>
          <w:bCs/>
        </w:rPr>
      </w:pPr>
      <w:r w:rsidRPr="00D71A53">
        <w:rPr>
          <w:b/>
          <w:bCs/>
        </w:rPr>
        <w:t>Forum</w:t>
      </w:r>
    </w:p>
    <w:p w14:paraId="67F5352C" w14:textId="77777777" w:rsidR="00E33C8D" w:rsidRDefault="00E33C8D" w:rsidP="00FF073A">
      <w:pPr>
        <w:pBdr>
          <w:top w:val="single" w:sz="4" w:space="1" w:color="auto"/>
          <w:left w:val="single" w:sz="4" w:space="4" w:color="auto"/>
          <w:bottom w:val="single" w:sz="4" w:space="1" w:color="auto"/>
          <w:right w:val="single" w:sz="4" w:space="4" w:color="auto"/>
        </w:pBdr>
        <w:jc w:val="center"/>
      </w:pPr>
      <w:r>
        <w:t xml:space="preserve">« Energie, bâtiments et parkings : de la sobriété à la décarbonation » </w:t>
      </w:r>
    </w:p>
    <w:p w14:paraId="1833784A" w14:textId="7D274E56" w:rsidR="00E33C8D" w:rsidRDefault="00E33C8D" w:rsidP="00FF073A">
      <w:pPr>
        <w:pBdr>
          <w:top w:val="single" w:sz="4" w:space="1" w:color="auto"/>
          <w:left w:val="single" w:sz="4" w:space="4" w:color="auto"/>
          <w:bottom w:val="single" w:sz="4" w:space="1" w:color="auto"/>
          <w:right w:val="single" w:sz="4" w:space="4" w:color="auto"/>
        </w:pBdr>
        <w:jc w:val="center"/>
      </w:pPr>
      <w:r>
        <w:t>ou comment conjuguer impératifs écologiques et économiques</w:t>
      </w:r>
    </w:p>
    <w:p w14:paraId="092DFD5C" w14:textId="77777777" w:rsidR="00E33C8D" w:rsidRDefault="00E33C8D"/>
    <w:p w14:paraId="02A10F29" w14:textId="77777777" w:rsidR="00E33C8D" w:rsidRPr="00FF073A" w:rsidRDefault="00E33C8D" w:rsidP="00FF073A">
      <w:pPr>
        <w:pStyle w:val="Paragraphedeliste"/>
        <w:numPr>
          <w:ilvl w:val="0"/>
          <w:numId w:val="2"/>
        </w:numPr>
        <w:jc w:val="both"/>
        <w:rPr>
          <w:b/>
          <w:bCs/>
        </w:rPr>
      </w:pPr>
      <w:r w:rsidRPr="00FF073A">
        <w:rPr>
          <w:b/>
          <w:bCs/>
        </w:rPr>
        <w:t>Introduction</w:t>
      </w:r>
    </w:p>
    <w:p w14:paraId="59F4CD59" w14:textId="77777777" w:rsidR="00E33C8D" w:rsidRDefault="00E33C8D" w:rsidP="00FF073A">
      <w:pPr>
        <w:pStyle w:val="Paragraphedeliste"/>
        <w:numPr>
          <w:ilvl w:val="1"/>
          <w:numId w:val="2"/>
        </w:numPr>
        <w:jc w:val="both"/>
      </w:pPr>
      <w:r>
        <w:t>2022, année charnière de la sobriété, ayant entrainé un changement de paradigme au sein duquel la conformité aux obligations, réglementaires ou non, se conjugue avec des bénéfices économiques au service de la décarbonation.</w:t>
      </w:r>
    </w:p>
    <w:p w14:paraId="0E689CCA" w14:textId="5057F8E8" w:rsidR="00E33C8D" w:rsidRDefault="00E33C8D" w:rsidP="00FF073A">
      <w:pPr>
        <w:pStyle w:val="Paragraphedeliste"/>
        <w:numPr>
          <w:ilvl w:val="1"/>
          <w:numId w:val="2"/>
        </w:numPr>
        <w:jc w:val="both"/>
      </w:pPr>
      <w:r>
        <w:t xml:space="preserve">Définition des périmètres, état des lieux de la superposition réglementaire, outils d’efficacité, etc. </w:t>
      </w:r>
    </w:p>
    <w:p w14:paraId="2E06F559" w14:textId="16359BE5" w:rsidR="00E33C8D" w:rsidRPr="00FF073A" w:rsidRDefault="00E33C8D" w:rsidP="00FF073A">
      <w:pPr>
        <w:pStyle w:val="Paragraphedeliste"/>
        <w:numPr>
          <w:ilvl w:val="0"/>
          <w:numId w:val="1"/>
        </w:numPr>
        <w:jc w:val="both"/>
        <w:rPr>
          <w:b/>
          <w:bCs/>
        </w:rPr>
      </w:pPr>
      <w:r w:rsidRPr="00FF073A">
        <w:rPr>
          <w:b/>
          <w:bCs/>
        </w:rPr>
        <w:t>Qu’est-ce que la décarbonation ?</w:t>
      </w:r>
    </w:p>
    <w:p w14:paraId="0E192DFE" w14:textId="3B669F78" w:rsidR="00E33C8D" w:rsidRDefault="00E33C8D" w:rsidP="00FF073A">
      <w:pPr>
        <w:pStyle w:val="Paragraphedeliste"/>
        <w:numPr>
          <w:ilvl w:val="1"/>
          <w:numId w:val="1"/>
        </w:numPr>
        <w:jc w:val="both"/>
      </w:pPr>
      <w:r>
        <w:t>Définition, périmètre, enjeux réglementaires et financiers au niveau national et européen</w:t>
      </w:r>
    </w:p>
    <w:p w14:paraId="0D2A56F0" w14:textId="650E8FC0" w:rsidR="00E33C8D" w:rsidRDefault="00E33C8D" w:rsidP="00FF073A">
      <w:pPr>
        <w:pStyle w:val="Paragraphedeliste"/>
        <w:numPr>
          <w:ilvl w:val="2"/>
          <w:numId w:val="1"/>
        </w:numPr>
        <w:jc w:val="both"/>
      </w:pPr>
      <w:r>
        <w:t>Illustrations au travers de 3 points : EPBD, RE2020 et DEET, Smart Building</w:t>
      </w:r>
    </w:p>
    <w:p w14:paraId="719268DE" w14:textId="207807E8" w:rsidR="00E33C8D" w:rsidRPr="00FF073A" w:rsidRDefault="00E33C8D" w:rsidP="00FF073A">
      <w:pPr>
        <w:pStyle w:val="Paragraphedeliste"/>
        <w:numPr>
          <w:ilvl w:val="0"/>
          <w:numId w:val="1"/>
        </w:numPr>
        <w:jc w:val="both"/>
        <w:rPr>
          <w:b/>
          <w:bCs/>
        </w:rPr>
      </w:pPr>
      <w:r w:rsidRPr="00FF073A">
        <w:rPr>
          <w:b/>
          <w:bCs/>
        </w:rPr>
        <w:t>Etat des lieux de la réglementation</w:t>
      </w:r>
      <w:r w:rsidR="00FF073A" w:rsidRPr="00FF073A">
        <w:rPr>
          <w:b/>
          <w:bCs/>
        </w:rPr>
        <w:t xml:space="preserve"> RSE</w:t>
      </w:r>
    </w:p>
    <w:p w14:paraId="4F3FEFC4" w14:textId="06539ABB" w:rsidR="00E33C8D" w:rsidRDefault="00E33C8D" w:rsidP="00FF073A">
      <w:pPr>
        <w:pStyle w:val="Paragraphedeliste"/>
        <w:numPr>
          <w:ilvl w:val="1"/>
          <w:numId w:val="1"/>
        </w:numPr>
        <w:jc w:val="both"/>
      </w:pPr>
      <w:r>
        <w:t>Panorama des principales réglementations européennes et française : DEET, loi Climat et résilience, loi APER, loi d’Orientation des Mobilités, loi DDADUE, EPBD, RE 2020</w:t>
      </w:r>
    </w:p>
    <w:p w14:paraId="7265C214" w14:textId="77777777" w:rsidR="00E33C8D" w:rsidRDefault="00E33C8D" w:rsidP="00FF073A">
      <w:pPr>
        <w:pStyle w:val="Paragraphedeliste"/>
        <w:numPr>
          <w:ilvl w:val="2"/>
          <w:numId w:val="1"/>
        </w:numPr>
        <w:jc w:val="both"/>
      </w:pPr>
      <w:r>
        <w:t>Obligations, calendrier, interactions, adaptations</w:t>
      </w:r>
    </w:p>
    <w:p w14:paraId="6B4B2F19" w14:textId="1C6D896E" w:rsidR="00E33C8D" w:rsidRPr="00FF073A" w:rsidRDefault="00E33C8D" w:rsidP="00FF073A">
      <w:pPr>
        <w:pStyle w:val="Paragraphedeliste"/>
        <w:numPr>
          <w:ilvl w:val="0"/>
          <w:numId w:val="1"/>
        </w:numPr>
        <w:jc w:val="both"/>
        <w:rPr>
          <w:b/>
          <w:bCs/>
        </w:rPr>
      </w:pPr>
      <w:r w:rsidRPr="00FF073A">
        <w:rPr>
          <w:b/>
          <w:bCs/>
        </w:rPr>
        <w:t>Stratégie énergétique : des outils au service d’une efficacité optimale</w:t>
      </w:r>
    </w:p>
    <w:p w14:paraId="2B8DD7E9" w14:textId="77777777" w:rsidR="00FF073A" w:rsidRDefault="00E33C8D" w:rsidP="00FF073A">
      <w:pPr>
        <w:pStyle w:val="Paragraphedeliste"/>
        <w:numPr>
          <w:ilvl w:val="1"/>
          <w:numId w:val="1"/>
        </w:numPr>
        <w:jc w:val="both"/>
        <w:rPr>
          <w:rFonts w:ascii="Aptos" w:hAnsi="Aptos"/>
        </w:rPr>
      </w:pPr>
      <w:r w:rsidRPr="00E33C8D">
        <w:rPr>
          <w:rFonts w:ascii="Aptos" w:hAnsi="Aptos"/>
        </w:rPr>
        <w:t xml:space="preserve">Une politique tendant à diminuer drastiquement les consommations ne représente en aucun cas le gage d’une efficacité énergétique alors même qu’existent des outils techniques et opérationnels permettant de développer une stratégie </w:t>
      </w:r>
      <w:r>
        <w:rPr>
          <w:rFonts w:ascii="Aptos" w:hAnsi="Aptos"/>
        </w:rPr>
        <w:t>efficace et efficiente</w:t>
      </w:r>
    </w:p>
    <w:p w14:paraId="43282A68" w14:textId="6AFA2E8D" w:rsidR="00FF073A" w:rsidRPr="00FF073A" w:rsidRDefault="00E33C8D" w:rsidP="00FF073A">
      <w:pPr>
        <w:pStyle w:val="Paragraphedeliste"/>
        <w:numPr>
          <w:ilvl w:val="1"/>
          <w:numId w:val="1"/>
        </w:numPr>
        <w:jc w:val="both"/>
        <w:rPr>
          <w:rFonts w:ascii="Aptos" w:hAnsi="Aptos"/>
        </w:rPr>
      </w:pPr>
      <w:r w:rsidRPr="00FF073A">
        <w:rPr>
          <w:rFonts w:ascii="Aptos" w:hAnsi="Aptos"/>
        </w:rPr>
        <w:t>Présentation de la boite à outils d’une stratégie énergétique à long terme</w:t>
      </w:r>
      <w:r w:rsidR="00FF073A" w:rsidRPr="00FF073A">
        <w:rPr>
          <w:rFonts w:ascii="Aptos" w:hAnsi="Aptos"/>
        </w:rPr>
        <w:t> : effacement</w:t>
      </w:r>
      <w:r w:rsidR="00FF073A">
        <w:rPr>
          <w:rFonts w:ascii="Aptos" w:hAnsi="Aptos"/>
        </w:rPr>
        <w:t xml:space="preserve">, </w:t>
      </w:r>
      <w:r w:rsidR="00FF073A" w:rsidRPr="00FF073A">
        <w:rPr>
          <w:rFonts w:ascii="Aptos" w:hAnsi="Aptos"/>
        </w:rPr>
        <w:t>innovations technologiques, modèles économiques appropriés, réduction des OPEX</w:t>
      </w:r>
    </w:p>
    <w:p w14:paraId="206FE306" w14:textId="77777777" w:rsidR="00FF073A" w:rsidRDefault="00E33C8D" w:rsidP="00FF073A">
      <w:pPr>
        <w:pStyle w:val="Paragraphedeliste"/>
        <w:numPr>
          <w:ilvl w:val="2"/>
          <w:numId w:val="1"/>
        </w:numPr>
        <w:jc w:val="both"/>
        <w:rPr>
          <w:rFonts w:ascii="Aptos" w:hAnsi="Aptos"/>
        </w:rPr>
      </w:pPr>
      <w:r w:rsidRPr="00FF073A">
        <w:rPr>
          <w:rFonts w:ascii="Aptos" w:hAnsi="Aptos"/>
        </w:rPr>
        <w:t>GTB et interopérabilité</w:t>
      </w:r>
    </w:p>
    <w:p w14:paraId="53B2AD44" w14:textId="77777777" w:rsidR="00FF073A" w:rsidRDefault="00FF073A" w:rsidP="00FF073A">
      <w:pPr>
        <w:pStyle w:val="Paragraphedeliste"/>
        <w:numPr>
          <w:ilvl w:val="2"/>
          <w:numId w:val="1"/>
        </w:numPr>
        <w:jc w:val="both"/>
        <w:rPr>
          <w:rFonts w:ascii="Aptos" w:hAnsi="Aptos"/>
        </w:rPr>
      </w:pPr>
      <w:proofErr w:type="spellStart"/>
      <w:r w:rsidRPr="00FF073A">
        <w:rPr>
          <w:rFonts w:ascii="Aptos" w:hAnsi="Aptos"/>
        </w:rPr>
        <w:t>R</w:t>
      </w:r>
      <w:r w:rsidR="00E33C8D" w:rsidRPr="00FF073A">
        <w:rPr>
          <w:rFonts w:ascii="Aptos" w:hAnsi="Aptos"/>
        </w:rPr>
        <w:t>ooftop</w:t>
      </w:r>
      <w:proofErr w:type="spellEnd"/>
      <w:r w:rsidR="00E33C8D" w:rsidRPr="00FF073A">
        <w:rPr>
          <w:rFonts w:ascii="Aptos" w:hAnsi="Aptos"/>
        </w:rPr>
        <w:t xml:space="preserve"> adiabatiqu</w:t>
      </w:r>
      <w:r>
        <w:rPr>
          <w:rFonts w:ascii="Aptos" w:hAnsi="Aptos"/>
        </w:rPr>
        <w:t>e</w:t>
      </w:r>
    </w:p>
    <w:p w14:paraId="088545FE" w14:textId="77777777" w:rsidR="00FF073A" w:rsidRDefault="00E33C8D" w:rsidP="00FF073A">
      <w:pPr>
        <w:pStyle w:val="Paragraphedeliste"/>
        <w:numPr>
          <w:ilvl w:val="2"/>
          <w:numId w:val="1"/>
        </w:numPr>
        <w:jc w:val="both"/>
        <w:rPr>
          <w:rFonts w:ascii="Aptos" w:hAnsi="Aptos"/>
        </w:rPr>
      </w:pPr>
      <w:r w:rsidRPr="00FF073A">
        <w:rPr>
          <w:rFonts w:ascii="Aptos" w:hAnsi="Aptos"/>
        </w:rPr>
        <w:t>Redresseur de tension et agrégateur</w:t>
      </w:r>
    </w:p>
    <w:p w14:paraId="161B0FB4" w14:textId="15403A01" w:rsidR="00E33C8D" w:rsidRDefault="00FF073A" w:rsidP="00FF073A">
      <w:pPr>
        <w:pStyle w:val="Paragraphedeliste"/>
        <w:numPr>
          <w:ilvl w:val="2"/>
          <w:numId w:val="1"/>
        </w:numPr>
        <w:jc w:val="both"/>
        <w:rPr>
          <w:rFonts w:ascii="Aptos" w:hAnsi="Aptos"/>
        </w:rPr>
      </w:pPr>
      <w:r>
        <w:rPr>
          <w:rFonts w:ascii="Aptos" w:hAnsi="Aptos"/>
        </w:rPr>
        <w:t>Flex</w:t>
      </w:r>
    </w:p>
    <w:p w14:paraId="3633B574" w14:textId="1B67561B" w:rsidR="00FF073A" w:rsidRPr="00FF073A" w:rsidRDefault="00FF073A" w:rsidP="00FF073A">
      <w:pPr>
        <w:pStyle w:val="Paragraphedeliste"/>
        <w:numPr>
          <w:ilvl w:val="0"/>
          <w:numId w:val="1"/>
        </w:numPr>
        <w:jc w:val="both"/>
        <w:rPr>
          <w:rFonts w:ascii="Aptos" w:hAnsi="Aptos"/>
          <w:b/>
          <w:bCs/>
        </w:rPr>
      </w:pPr>
      <w:r w:rsidRPr="00FF073A">
        <w:rPr>
          <w:rFonts w:ascii="Aptos" w:hAnsi="Aptos"/>
          <w:b/>
          <w:bCs/>
        </w:rPr>
        <w:t>Bornes de recharge électrique (IRVE)</w:t>
      </w:r>
      <w:r>
        <w:rPr>
          <w:rFonts w:ascii="Aptos" w:hAnsi="Aptos"/>
          <w:b/>
          <w:bCs/>
        </w:rPr>
        <w:t> : vers une mutation réglementaire</w:t>
      </w:r>
    </w:p>
    <w:p w14:paraId="354C1634" w14:textId="77777777" w:rsidR="00FF073A" w:rsidRPr="00FF073A" w:rsidRDefault="00FF073A" w:rsidP="00FF073A">
      <w:pPr>
        <w:pStyle w:val="Paragraphedeliste"/>
        <w:numPr>
          <w:ilvl w:val="1"/>
          <w:numId w:val="1"/>
        </w:numPr>
        <w:jc w:val="both"/>
        <w:rPr>
          <w:rFonts w:ascii="Aptos" w:hAnsi="Aptos"/>
        </w:rPr>
      </w:pPr>
      <w:r w:rsidRPr="00FF073A">
        <w:rPr>
          <w:rFonts w:ascii="Aptos" w:hAnsi="Aptos"/>
        </w:rPr>
        <w:t xml:space="preserve">2 ans après l’EPBD, quid de sa transposition en droit français </w:t>
      </w:r>
    </w:p>
    <w:p w14:paraId="42FCA008" w14:textId="77777777" w:rsidR="00FF073A" w:rsidRPr="00FF073A" w:rsidRDefault="00FF073A" w:rsidP="00FF073A">
      <w:pPr>
        <w:pStyle w:val="Paragraphedeliste"/>
        <w:numPr>
          <w:ilvl w:val="1"/>
          <w:numId w:val="1"/>
        </w:numPr>
        <w:jc w:val="both"/>
        <w:rPr>
          <w:rFonts w:ascii="Aptos" w:hAnsi="Aptos"/>
        </w:rPr>
      </w:pPr>
      <w:r w:rsidRPr="00FF073A">
        <w:rPr>
          <w:rFonts w:ascii="Aptos" w:hAnsi="Aptos"/>
        </w:rPr>
        <w:t>Le prochain projet de loi DDADUE permettra-t-il de privilégier une approche qualitative, comme l’indique la notice d’accompagnement de la directive ou de rester sur l’approche quantitative et l’application stricte de la directive ?</w:t>
      </w:r>
    </w:p>
    <w:p w14:paraId="107E4623" w14:textId="790D5648" w:rsidR="00FF073A" w:rsidRPr="00FF073A" w:rsidRDefault="00FF073A" w:rsidP="00FF073A">
      <w:pPr>
        <w:pStyle w:val="Paragraphedeliste"/>
        <w:numPr>
          <w:ilvl w:val="0"/>
          <w:numId w:val="1"/>
        </w:numPr>
        <w:jc w:val="both"/>
        <w:rPr>
          <w:rFonts w:ascii="Aptos" w:hAnsi="Aptos"/>
          <w:b/>
          <w:bCs/>
        </w:rPr>
      </w:pPr>
      <w:r w:rsidRPr="00FF073A">
        <w:rPr>
          <w:rFonts w:ascii="Aptos" w:hAnsi="Aptos"/>
          <w:b/>
          <w:bCs/>
        </w:rPr>
        <w:lastRenderedPageBreak/>
        <w:t>Bornes de recharge électrique (IRVE) : un déploiement pour se mettre en conformité ou pour répondre aux usagers</w:t>
      </w:r>
    </w:p>
    <w:p w14:paraId="3108CC4F" w14:textId="4A77943C" w:rsidR="00FF073A" w:rsidRDefault="00FF073A" w:rsidP="00FF073A">
      <w:pPr>
        <w:pStyle w:val="Paragraphedeliste"/>
        <w:numPr>
          <w:ilvl w:val="1"/>
          <w:numId w:val="1"/>
        </w:numPr>
        <w:jc w:val="both"/>
        <w:rPr>
          <w:rFonts w:ascii="Aptos" w:hAnsi="Aptos"/>
        </w:rPr>
      </w:pPr>
      <w:r w:rsidRPr="00FF073A">
        <w:rPr>
          <w:rFonts w:ascii="Aptos" w:hAnsi="Aptos"/>
        </w:rPr>
        <w:t xml:space="preserve">Etat des lieux du déploiement </w:t>
      </w:r>
      <w:r>
        <w:rPr>
          <w:rFonts w:ascii="Aptos" w:hAnsi="Aptos"/>
        </w:rPr>
        <w:t xml:space="preserve">conformément à la </w:t>
      </w:r>
      <w:r w:rsidRPr="00FF073A">
        <w:rPr>
          <w:rFonts w:ascii="Aptos" w:hAnsi="Aptos"/>
        </w:rPr>
        <w:t>LOM</w:t>
      </w:r>
    </w:p>
    <w:p w14:paraId="3992BE61" w14:textId="77777777" w:rsidR="00FF073A" w:rsidRPr="00FF073A" w:rsidRDefault="00FF073A" w:rsidP="00FF073A">
      <w:pPr>
        <w:pStyle w:val="Paragraphedeliste"/>
        <w:numPr>
          <w:ilvl w:val="1"/>
          <w:numId w:val="1"/>
        </w:numPr>
        <w:jc w:val="both"/>
        <w:rPr>
          <w:rFonts w:ascii="Aptos" w:hAnsi="Aptos"/>
        </w:rPr>
      </w:pPr>
      <w:r w:rsidRPr="00FF073A">
        <w:rPr>
          <w:rFonts w:ascii="Aptos" w:hAnsi="Aptos"/>
        </w:rPr>
        <w:t>Quelles adaptations au regard d’une transposition qui pourrait modifier le principe d’un ratio d’installation des IRVE en fonction des usages et spécificités des parkings</w:t>
      </w:r>
    </w:p>
    <w:p w14:paraId="311C603A" w14:textId="4D9E543F" w:rsidR="00FF073A" w:rsidRDefault="00FF073A" w:rsidP="00FF073A">
      <w:pPr>
        <w:pStyle w:val="Paragraphedeliste"/>
        <w:numPr>
          <w:ilvl w:val="1"/>
          <w:numId w:val="1"/>
        </w:numPr>
        <w:jc w:val="both"/>
        <w:rPr>
          <w:rFonts w:ascii="Aptos" w:hAnsi="Aptos"/>
        </w:rPr>
      </w:pPr>
      <w:r w:rsidRPr="00A1464D">
        <w:rPr>
          <w:rFonts w:ascii="Aptos" w:hAnsi="Aptos"/>
        </w:rPr>
        <w:t>Evolutions technologiques et cas d’usage</w:t>
      </w:r>
    </w:p>
    <w:p w14:paraId="28C0BC5B" w14:textId="043B336E" w:rsidR="00FF073A" w:rsidRPr="00FF073A" w:rsidRDefault="00FF073A" w:rsidP="00FF073A">
      <w:pPr>
        <w:pStyle w:val="Paragraphedeliste"/>
        <w:numPr>
          <w:ilvl w:val="0"/>
          <w:numId w:val="1"/>
        </w:numPr>
        <w:jc w:val="both"/>
        <w:rPr>
          <w:rFonts w:ascii="Aptos" w:hAnsi="Aptos"/>
          <w:b/>
          <w:bCs/>
        </w:rPr>
      </w:pPr>
      <w:r w:rsidRPr="00FF073A">
        <w:rPr>
          <w:rFonts w:ascii="Aptos" w:hAnsi="Aptos"/>
          <w:b/>
          <w:bCs/>
        </w:rPr>
        <w:t>Photovoltaïque et IRVE : du producteur au consommateur ?</w:t>
      </w:r>
    </w:p>
    <w:p w14:paraId="60BC8382" w14:textId="647FDB55" w:rsidR="00FF073A" w:rsidRDefault="00FF073A" w:rsidP="00FF073A">
      <w:pPr>
        <w:pStyle w:val="Paragraphedeliste"/>
        <w:numPr>
          <w:ilvl w:val="1"/>
          <w:numId w:val="1"/>
        </w:numPr>
        <w:jc w:val="both"/>
        <w:rPr>
          <w:rFonts w:ascii="Aptos" w:hAnsi="Aptos"/>
        </w:rPr>
      </w:pPr>
      <w:r>
        <w:rPr>
          <w:rFonts w:ascii="Aptos" w:hAnsi="Aptos"/>
        </w:rPr>
        <w:t>Une combinaison vertueuse est-elle envisageable dans une autoconsommation in situ ?</w:t>
      </w:r>
    </w:p>
    <w:p w14:paraId="2FB0B99A" w14:textId="20245CE5" w:rsidR="00FF073A" w:rsidRPr="00FF073A" w:rsidRDefault="00FF073A" w:rsidP="00FF073A">
      <w:pPr>
        <w:pStyle w:val="Paragraphedeliste"/>
        <w:numPr>
          <w:ilvl w:val="0"/>
          <w:numId w:val="1"/>
        </w:numPr>
        <w:jc w:val="both"/>
        <w:rPr>
          <w:rFonts w:ascii="Aptos" w:hAnsi="Aptos"/>
          <w:b/>
          <w:bCs/>
        </w:rPr>
      </w:pPr>
      <w:r w:rsidRPr="00FF073A">
        <w:rPr>
          <w:rFonts w:ascii="Aptos" w:hAnsi="Aptos"/>
          <w:b/>
          <w:bCs/>
        </w:rPr>
        <w:t xml:space="preserve">Décarbonation : </w:t>
      </w:r>
      <w:r w:rsidRPr="00FF073A">
        <w:rPr>
          <w:rFonts w:ascii="Aptos" w:hAnsi="Aptos"/>
          <w:b/>
          <w:bCs/>
        </w:rPr>
        <w:t>de la conformité réglementaire (RE 2020) à la labellisation (BREEAM, BBCA, E+C-), histoires de valorisation</w:t>
      </w:r>
    </w:p>
    <w:p w14:paraId="2D0095DF" w14:textId="77777777" w:rsidR="00FF073A" w:rsidRPr="00FF073A" w:rsidRDefault="00FF073A" w:rsidP="00FF073A">
      <w:pPr>
        <w:pStyle w:val="Paragraphedeliste"/>
        <w:numPr>
          <w:ilvl w:val="1"/>
          <w:numId w:val="1"/>
        </w:numPr>
        <w:jc w:val="both"/>
        <w:rPr>
          <w:rFonts w:ascii="Aptos" w:hAnsi="Aptos"/>
        </w:rPr>
      </w:pPr>
      <w:r w:rsidRPr="00FF073A">
        <w:rPr>
          <w:rFonts w:ascii="Aptos" w:hAnsi="Aptos"/>
        </w:rPr>
        <w:t xml:space="preserve">Entre la volonté des porteurs de projets et la faisabilité technique, la mise en œuvre relève de plus en plus de la responsabilité de l’assistance à maitre d’ouvrage (AMO) </w:t>
      </w:r>
    </w:p>
    <w:p w14:paraId="3BAA12CA" w14:textId="4F7C59BB" w:rsidR="00FF073A" w:rsidRPr="00D71A53" w:rsidRDefault="00FF073A" w:rsidP="00FF073A">
      <w:pPr>
        <w:pStyle w:val="Paragraphedeliste"/>
        <w:numPr>
          <w:ilvl w:val="0"/>
          <w:numId w:val="1"/>
        </w:numPr>
        <w:jc w:val="both"/>
        <w:rPr>
          <w:rFonts w:ascii="Aptos" w:hAnsi="Aptos"/>
          <w:b/>
          <w:bCs/>
        </w:rPr>
      </w:pPr>
      <w:r w:rsidRPr="00D71A53">
        <w:rPr>
          <w:rFonts w:ascii="Aptos" w:hAnsi="Aptos"/>
          <w:b/>
          <w:bCs/>
        </w:rPr>
        <w:t>Photovoltaïque : comment créer les</w:t>
      </w:r>
      <w:r w:rsidR="00D71A53" w:rsidRPr="00D71A53">
        <w:rPr>
          <w:rFonts w:ascii="Aptos" w:hAnsi="Aptos"/>
          <w:b/>
          <w:bCs/>
        </w:rPr>
        <w:t xml:space="preserve"> conditions (d’autoconsommation) du</w:t>
      </w:r>
      <w:r w:rsidRPr="00D71A53">
        <w:rPr>
          <w:rFonts w:ascii="Aptos" w:hAnsi="Aptos"/>
          <w:b/>
          <w:bCs/>
        </w:rPr>
        <w:t xml:space="preserve"> centre commercial </w:t>
      </w:r>
      <w:r w:rsidR="00D71A53" w:rsidRPr="00D71A53">
        <w:rPr>
          <w:rFonts w:ascii="Aptos" w:hAnsi="Aptos"/>
          <w:b/>
          <w:bCs/>
        </w:rPr>
        <w:t>de demain</w:t>
      </w:r>
    </w:p>
    <w:p w14:paraId="28E1712E" w14:textId="032E7EF2" w:rsidR="00D71A53" w:rsidRDefault="00D71A53" w:rsidP="00D71A53">
      <w:pPr>
        <w:pStyle w:val="Paragraphedeliste"/>
        <w:numPr>
          <w:ilvl w:val="1"/>
          <w:numId w:val="1"/>
        </w:numPr>
        <w:jc w:val="both"/>
        <w:rPr>
          <w:rFonts w:ascii="Aptos" w:hAnsi="Aptos"/>
        </w:rPr>
      </w:pPr>
      <w:r>
        <w:rPr>
          <w:rFonts w:ascii="Aptos" w:hAnsi="Aptos"/>
        </w:rPr>
        <w:t>Photovoltaïque et centre commercial de demain, à quoi peut-il et doit-il ressembler ?</w:t>
      </w:r>
    </w:p>
    <w:p w14:paraId="1760DC9F" w14:textId="73B5AD31" w:rsidR="00D71A53" w:rsidRDefault="00D71A53" w:rsidP="00D71A53">
      <w:pPr>
        <w:pStyle w:val="Paragraphedeliste"/>
        <w:numPr>
          <w:ilvl w:val="1"/>
          <w:numId w:val="1"/>
        </w:numPr>
        <w:jc w:val="both"/>
        <w:rPr>
          <w:rFonts w:ascii="Aptos" w:hAnsi="Aptos"/>
        </w:rPr>
      </w:pPr>
      <w:r>
        <w:rPr>
          <w:rFonts w:ascii="Aptos" w:hAnsi="Aptos"/>
        </w:rPr>
        <w:t>Des obligations de couverture à l’autoconsommation</w:t>
      </w:r>
    </w:p>
    <w:p w14:paraId="020FFA03" w14:textId="32D775FF" w:rsidR="00D71A53" w:rsidRDefault="00D71A53" w:rsidP="00D71A53">
      <w:pPr>
        <w:pStyle w:val="Paragraphedeliste"/>
        <w:numPr>
          <w:ilvl w:val="2"/>
          <w:numId w:val="1"/>
        </w:numPr>
        <w:jc w:val="both"/>
        <w:rPr>
          <w:rFonts w:ascii="Aptos" w:hAnsi="Aptos"/>
        </w:rPr>
      </w:pPr>
      <w:r>
        <w:rPr>
          <w:rFonts w:ascii="Aptos" w:hAnsi="Aptos"/>
        </w:rPr>
        <w:t>Autoconsommation individuelle : vision d’un opérateur</w:t>
      </w:r>
    </w:p>
    <w:p w14:paraId="2B5F32C2" w14:textId="197E1905" w:rsidR="00D71A53" w:rsidRDefault="00D71A53" w:rsidP="00D71A53">
      <w:pPr>
        <w:pStyle w:val="Paragraphedeliste"/>
        <w:numPr>
          <w:ilvl w:val="2"/>
          <w:numId w:val="1"/>
        </w:numPr>
        <w:jc w:val="both"/>
        <w:rPr>
          <w:rFonts w:ascii="Aptos" w:hAnsi="Aptos"/>
        </w:rPr>
      </w:pPr>
      <w:r>
        <w:rPr>
          <w:rFonts w:ascii="Aptos" w:hAnsi="Aptos"/>
        </w:rPr>
        <w:t>Autoconsommation collective : vision d’un syndicat départemental de l’énergie</w:t>
      </w:r>
    </w:p>
    <w:p w14:paraId="3415B94E" w14:textId="7CF9C7D8" w:rsidR="00D71A53" w:rsidRPr="00D71A53" w:rsidRDefault="00D71A53" w:rsidP="00D71A53">
      <w:pPr>
        <w:pStyle w:val="Paragraphedeliste"/>
        <w:numPr>
          <w:ilvl w:val="0"/>
          <w:numId w:val="1"/>
        </w:numPr>
        <w:jc w:val="both"/>
        <w:rPr>
          <w:rFonts w:ascii="Aptos" w:hAnsi="Aptos"/>
          <w:b/>
          <w:bCs/>
        </w:rPr>
      </w:pPr>
      <w:r w:rsidRPr="00D71A53">
        <w:rPr>
          <w:rFonts w:ascii="Aptos" w:hAnsi="Aptos"/>
          <w:b/>
          <w:bCs/>
        </w:rPr>
        <w:t>Conformités réglementaires (lois Climat et APER) : entre cohérence et bénéfices environnementaux/économiques</w:t>
      </w:r>
    </w:p>
    <w:p w14:paraId="355F1719" w14:textId="77777777" w:rsidR="00D71A53" w:rsidRPr="00D71A53" w:rsidRDefault="00D71A53" w:rsidP="00D71A53">
      <w:pPr>
        <w:jc w:val="both"/>
        <w:rPr>
          <w:rFonts w:ascii="Aptos" w:hAnsi="Aptos"/>
        </w:rPr>
      </w:pPr>
    </w:p>
    <w:sectPr w:rsidR="00D71A53" w:rsidRPr="00D7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ro">
    <w:altName w:val="Calibri"/>
    <w:charset w:val="00"/>
    <w:family w:val="auto"/>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408"/>
    <w:multiLevelType w:val="hybridMultilevel"/>
    <w:tmpl w:val="C234D3DA"/>
    <w:lvl w:ilvl="0" w:tplc="18E8C97A">
      <w:start w:val="6"/>
      <w:numFmt w:val="bullet"/>
      <w:lvlText w:val="-"/>
      <w:lvlJc w:val="left"/>
      <w:pPr>
        <w:ind w:left="720" w:hanging="360"/>
      </w:pPr>
      <w:rPr>
        <w:rFonts w:ascii="Intro" w:eastAsiaTheme="minorHAnsi" w:hAnsi="Int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D5452D"/>
    <w:multiLevelType w:val="hybridMultilevel"/>
    <w:tmpl w:val="E992385A"/>
    <w:lvl w:ilvl="0" w:tplc="9BB273B8">
      <w:start w:val="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E73C66"/>
    <w:multiLevelType w:val="hybridMultilevel"/>
    <w:tmpl w:val="5F34B9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F83C0B"/>
    <w:multiLevelType w:val="hybridMultilevel"/>
    <w:tmpl w:val="30966FF6"/>
    <w:lvl w:ilvl="0" w:tplc="5478E4B2">
      <w:start w:val="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93075">
    <w:abstractNumId w:val="1"/>
  </w:num>
  <w:num w:numId="2" w16cid:durableId="203298657">
    <w:abstractNumId w:val="3"/>
  </w:num>
  <w:num w:numId="3" w16cid:durableId="588999334">
    <w:abstractNumId w:val="2"/>
  </w:num>
  <w:num w:numId="4" w16cid:durableId="15330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8D"/>
    <w:rsid w:val="008536CE"/>
    <w:rsid w:val="00D71A53"/>
    <w:rsid w:val="00E33C8D"/>
    <w:rsid w:val="00FF0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B9F8"/>
  <w15:chartTrackingRefBased/>
  <w15:docId w15:val="{115B6B74-CF2B-4FAD-B635-4D091E19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3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3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3C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3C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3C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3C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3C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3C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3C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3C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3C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3C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3C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3C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3C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3C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3C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3C8D"/>
    <w:rPr>
      <w:rFonts w:eastAsiaTheme="majorEastAsia" w:cstheme="majorBidi"/>
      <w:color w:val="272727" w:themeColor="text1" w:themeTint="D8"/>
    </w:rPr>
  </w:style>
  <w:style w:type="paragraph" w:styleId="Titre">
    <w:name w:val="Title"/>
    <w:basedOn w:val="Normal"/>
    <w:next w:val="Normal"/>
    <w:link w:val="TitreCar"/>
    <w:uiPriority w:val="10"/>
    <w:qFormat/>
    <w:rsid w:val="00E3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3C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3C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3C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3C8D"/>
    <w:pPr>
      <w:spacing w:before="160"/>
      <w:jc w:val="center"/>
    </w:pPr>
    <w:rPr>
      <w:i/>
      <w:iCs/>
      <w:color w:val="404040" w:themeColor="text1" w:themeTint="BF"/>
    </w:rPr>
  </w:style>
  <w:style w:type="character" w:customStyle="1" w:styleId="CitationCar">
    <w:name w:val="Citation Car"/>
    <w:basedOn w:val="Policepardfaut"/>
    <w:link w:val="Citation"/>
    <w:uiPriority w:val="29"/>
    <w:rsid w:val="00E33C8D"/>
    <w:rPr>
      <w:i/>
      <w:iCs/>
      <w:color w:val="404040" w:themeColor="text1" w:themeTint="BF"/>
    </w:rPr>
  </w:style>
  <w:style w:type="paragraph" w:styleId="Paragraphedeliste">
    <w:name w:val="List Paragraph"/>
    <w:basedOn w:val="Normal"/>
    <w:uiPriority w:val="34"/>
    <w:qFormat/>
    <w:rsid w:val="00E33C8D"/>
    <w:pPr>
      <w:ind w:left="720"/>
      <w:contextualSpacing/>
    </w:pPr>
  </w:style>
  <w:style w:type="character" w:styleId="Accentuationintense">
    <w:name w:val="Intense Emphasis"/>
    <w:basedOn w:val="Policepardfaut"/>
    <w:uiPriority w:val="21"/>
    <w:qFormat/>
    <w:rsid w:val="00E33C8D"/>
    <w:rPr>
      <w:i/>
      <w:iCs/>
      <w:color w:val="0F4761" w:themeColor="accent1" w:themeShade="BF"/>
    </w:rPr>
  </w:style>
  <w:style w:type="paragraph" w:styleId="Citationintense">
    <w:name w:val="Intense Quote"/>
    <w:basedOn w:val="Normal"/>
    <w:next w:val="Normal"/>
    <w:link w:val="CitationintenseCar"/>
    <w:uiPriority w:val="30"/>
    <w:qFormat/>
    <w:rsid w:val="00E3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3C8D"/>
    <w:rPr>
      <w:i/>
      <w:iCs/>
      <w:color w:val="0F4761" w:themeColor="accent1" w:themeShade="BF"/>
    </w:rPr>
  </w:style>
  <w:style w:type="character" w:styleId="Rfrenceintense">
    <w:name w:val="Intense Reference"/>
    <w:basedOn w:val="Policepardfaut"/>
    <w:uiPriority w:val="32"/>
    <w:qFormat/>
    <w:rsid w:val="00E33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LAMARRE</dc:creator>
  <cp:keywords/>
  <dc:description/>
  <cp:lastModifiedBy>Dorian LAMARRE</cp:lastModifiedBy>
  <cp:revision>1</cp:revision>
  <dcterms:created xsi:type="dcterms:W3CDTF">2025-10-07T13:04:00Z</dcterms:created>
  <dcterms:modified xsi:type="dcterms:W3CDTF">2025-10-07T13:35:00Z</dcterms:modified>
</cp:coreProperties>
</file>